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4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403.01: Employee Physical Examinations</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bookmarkStart w:colFirst="0" w:colLast="0" w:name="_heading=h.gjdgxs" w:id="0"/>
      <w:bookmarkEnd w:id="0"/>
      <w:r w:rsidDel="00000000" w:rsidR="00000000" w:rsidRPr="00000000">
        <w:rPr>
          <w:rFonts w:ascii="Lato" w:cs="Lato" w:eastAsia="Lato" w:hAnsi="Lato"/>
          <w:rtl w:val="0"/>
        </w:rPr>
        <w:t xml:space="preserve">The </w:t>
      </w:r>
      <w:r w:rsidDel="00000000" w:rsidR="00000000" w:rsidRPr="00000000">
        <w:rPr>
          <w:rFonts w:ascii="Lato" w:cs="Lato" w:eastAsia="Lato" w:hAnsi="Lato"/>
          <w:rtl w:val="0"/>
        </w:rPr>
        <w:t xml:space="preserve"> </w:t>
      </w:r>
      <w:r w:rsidDel="00000000" w:rsidR="00000000" w:rsidRPr="00000000">
        <w:rPr>
          <w:rFonts w:ascii="Lato" w:cs="Lato" w:eastAsia="Lato" w:hAnsi="Lato"/>
          <w:i w:val="1"/>
          <w:color w:val="000000"/>
          <w:rtl w:val="0"/>
        </w:rPr>
        <w:t xml:space="preserve">Tri-County school district</w:t>
      </w:r>
      <w:r w:rsidDel="00000000" w:rsidR="00000000" w:rsidRPr="00000000">
        <w:rPr>
          <w:rFonts w:ascii="Lato" w:cs="Lato" w:eastAsia="Lato" w:hAnsi="Lato"/>
          <w:rtl w:val="0"/>
        </w:rPr>
        <w:t xml:space="preserve"> </w:t>
      </w:r>
      <w:r w:rsidDel="00000000" w:rsidR="00000000" w:rsidRPr="00000000">
        <w:rPr>
          <w:rFonts w:ascii="Lato" w:cs="Lato" w:eastAsia="Lato" w:hAnsi="Lato"/>
          <w:rtl w:val="0"/>
        </w:rPr>
        <w:t xml:space="preserve">believes good health is important to job performance. School bus drivers will present evidence of good health upon initial hire and every other year in the form of a physical examination report, unless otherwise required by law or medical opinion.</w:t>
      </w:r>
      <w:r w:rsidDel="00000000" w:rsidR="00000000" w:rsidRPr="00000000">
        <w:rPr>
          <w:rFonts w:ascii="Lato" w:cs="Lato" w:eastAsia="Lato" w:hAnsi="Lato"/>
          <w:i w:val="1"/>
          <w:rtl w:val="0"/>
        </w:rPr>
        <w:t xml:space="preserve"> [All other employees shall present evidence of good health, in the form of a post-offer, pre-employment physical examination report]. </w:t>
      </w:r>
      <w:r w:rsidDel="00000000" w:rsidR="00000000" w:rsidRPr="00000000">
        <w:rPr>
          <w:rFonts w:ascii="Lato" w:cs="Lato" w:eastAsia="Lato" w:hAnsi="Lato"/>
          <w:i w:val="1"/>
          <w:rtl w:val="0"/>
        </w:rPr>
        <w:t xml:space="preserve"> </w:t>
      </w:r>
      <w:r w:rsidDel="00000000" w:rsidR="00000000" w:rsidRPr="00000000">
        <w:rPr>
          <w:rFonts w:ascii="Lato" w:cs="Lato" w:eastAsia="Lato" w:hAnsi="Lato"/>
          <w:rtl w:val="0"/>
        </w:rPr>
        <w:br w:type="textWrapping"/>
        <w:br w:type="textWrapping"/>
        <w:t xml:space="preserve">The cost of the initial examination will be paid by the</w:t>
      </w:r>
      <w:r w:rsidDel="00000000" w:rsidR="00000000" w:rsidRPr="00000000">
        <w:rPr>
          <w:rFonts w:ascii="Lato" w:cs="Lato" w:eastAsia="Lato" w:hAnsi="Lato"/>
          <w:i w:val="1"/>
          <w:rtl w:val="0"/>
        </w:rPr>
        <w:t xml:space="preserve"> school district</w:t>
      </w:r>
      <w:r w:rsidDel="00000000" w:rsidR="00000000" w:rsidRPr="00000000">
        <w:rPr>
          <w:rFonts w:ascii="Lato" w:cs="Lato" w:eastAsia="Lato" w:hAnsi="Lato"/>
          <w:rtl w:val="0"/>
        </w:rPr>
        <w:t xml:space="preserve">. The form indicating the employee is able to perform the duties, with or without reasonable accommodation, for which the employee was hired, must be returned prior to the performance of duties. The cost of bus driver renewal physicals will be paid by the school district up to a maximum of $</w:t>
      </w:r>
      <w:r w:rsidDel="00000000" w:rsidR="00000000" w:rsidRPr="00000000">
        <w:rPr>
          <w:rFonts w:ascii="Lato" w:cs="Lato" w:eastAsia="Lato" w:hAnsi="Lato"/>
          <w:i w:val="1"/>
          <w:rtl w:val="0"/>
        </w:rPr>
        <w:t xml:space="preserve"> [insert amount]</w:t>
      </w:r>
      <w:r w:rsidDel="00000000" w:rsidR="00000000" w:rsidRPr="00000000">
        <w:rPr>
          <w:rFonts w:ascii="Lato" w:cs="Lato" w:eastAsia="Lato" w:hAnsi="Lato"/>
          <w:rtl w:val="0"/>
        </w:rPr>
        <w:t xml:space="preserve">. The school district will provide the standard examination form to be completed by the personal physician of the employee or a certified medical examiner for bus drivers.  </w:t>
        <w:br w:type="textWrapping"/>
        <w:br w:type="textWrapping"/>
        <w:t xml:space="preserve">Employees whose physical or mental health, in the judgment of the administration, may be in doubt will submit to additional examinations to the extent job-related and consistent with business necessity, when requested to do so, at the expense of the school district.</w:t>
        <w:br w:type="textWrapping"/>
        <w:br w:type="textWrapping"/>
        <w:t xml:space="preserve">The district will comply with occupational safety and health requirements as applicable to its employees in accordance with law. </w:t>
        <w:br w:type="textWrapping"/>
        <w:t xml:space="preserve"> </w:t>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08">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09">
            <w:pPr>
              <w:rPr>
                <w:rFonts w:ascii="Lato" w:cs="Lato" w:eastAsia="Lato" w:hAnsi="Lato"/>
              </w:rPr>
            </w:pPr>
            <w:r w:rsidDel="00000000" w:rsidR="00000000" w:rsidRPr="00000000">
              <w:rPr>
                <w:rFonts w:ascii="Lato" w:cs="Lato" w:eastAsia="Lato" w:hAnsi="Lato"/>
                <w:rtl w:val="0"/>
              </w:rPr>
              <w:t xml:space="preserve">29 C.F.R. § 1910.1030. </w:t>
              <w:br w:type="textWrapping"/>
              <w:t xml:space="preserve">49 C.F.R. §§ 391.41 – 391.49.</w:t>
              <w:br w:type="textWrapping"/>
              <w:t xml:space="preserve">Iowa Code §§ 20; 279.8; 321.376. </w:t>
              <w:br w:type="textWrapping"/>
              <w:t xml:space="preserve">281 I.A.C. 43.15; 43.17.  </w:t>
            </w:r>
          </w:p>
        </w:tc>
      </w:tr>
    </w:tbl>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0C">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0D">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0E">
            <w:pPr>
              <w:spacing w:after="0" w:lineRule="auto"/>
              <w:rPr/>
            </w:pPr>
            <w:r w:rsidDel="00000000" w:rsidR="00000000" w:rsidRPr="00000000">
              <w:rPr>
                <w:rFonts w:ascii="Lato" w:cs="Lato" w:eastAsia="Lato" w:hAnsi="Lato"/>
                <w:rtl w:val="0"/>
              </w:rPr>
              <w:t xml:space="preserve">Iowa Code  § 20</w:t>
            </w:r>
            <w:r w:rsidDel="00000000" w:rsidR="00000000" w:rsidRPr="00000000">
              <w:rPr>
                <w:rtl w:val="0"/>
              </w:rPr>
            </w:r>
          </w:p>
        </w:tc>
        <w:tc>
          <w:tcPr>
            <w:tcMar>
              <w:top w:w="0.0" w:type="dxa"/>
              <w:bottom w:w="0.0" w:type="dxa"/>
            </w:tcMar>
          </w:tcPr>
          <w:p w:rsidR="00000000" w:rsidDel="00000000" w:rsidP="00000000" w:rsidRDefault="00000000" w:rsidRPr="00000000" w14:paraId="0000000F">
            <w:pPr>
              <w:rPr/>
            </w:pPr>
            <w:hyperlink r:id="rId7">
              <w:r w:rsidDel="00000000" w:rsidR="00000000" w:rsidRPr="00000000">
                <w:rPr>
                  <w:rFonts w:ascii="Lato" w:cs="Lato" w:eastAsia="Lato" w:hAnsi="Lato"/>
                  <w:color w:val="0563c1"/>
                  <w:u w:val="single"/>
                  <w:rtl w:val="0"/>
                </w:rPr>
                <w:t xml:space="preserve">Collective Bargaining</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0">
            <w:pPr>
              <w:spacing w:after="0" w:lineRule="auto"/>
              <w:rPr/>
            </w:pPr>
            <w:r w:rsidDel="00000000" w:rsidR="00000000" w:rsidRPr="00000000">
              <w:rPr>
                <w:rFonts w:ascii="Lato" w:cs="Lato" w:eastAsia="Lato" w:hAnsi="Lato"/>
                <w:rtl w:val="0"/>
              </w:rPr>
              <w:t xml:space="preserve">Iowa Code  § 279.8</w:t>
            </w:r>
            <w:r w:rsidDel="00000000" w:rsidR="00000000" w:rsidRPr="00000000">
              <w:rPr>
                <w:rtl w:val="0"/>
              </w:rPr>
            </w:r>
          </w:p>
        </w:tc>
        <w:tc>
          <w:tcPr>
            <w:tcMar>
              <w:top w:w="0.0" w:type="dxa"/>
              <w:bottom w:w="0.0" w:type="dxa"/>
            </w:tcMar>
          </w:tcPr>
          <w:p w:rsidR="00000000" w:rsidDel="00000000" w:rsidP="00000000" w:rsidRDefault="00000000" w:rsidRPr="00000000" w14:paraId="00000011">
            <w:pPr>
              <w:rPr/>
            </w:pPr>
            <w:hyperlink r:id="rId8">
              <w:r w:rsidDel="00000000" w:rsidR="00000000" w:rsidRPr="00000000">
                <w:rPr>
                  <w:rFonts w:ascii="Lato" w:cs="Lato" w:eastAsia="Lato" w:hAnsi="Lato"/>
                  <w:color w:val="0563c1"/>
                  <w:u w:val="single"/>
                  <w:rtl w:val="0"/>
                </w:rPr>
                <w:t xml:space="preserve">Directors - General Rules - Bonds of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2">
            <w:pPr>
              <w:spacing w:after="0" w:lineRule="auto"/>
              <w:rPr/>
            </w:pPr>
            <w:r w:rsidDel="00000000" w:rsidR="00000000" w:rsidRPr="00000000">
              <w:rPr>
                <w:rFonts w:ascii="Lato" w:cs="Lato" w:eastAsia="Lato" w:hAnsi="Lato"/>
                <w:rtl w:val="0"/>
              </w:rPr>
              <w:t xml:space="preserve">Iowa Code  § 321.376</w:t>
            </w:r>
            <w:r w:rsidDel="00000000" w:rsidR="00000000" w:rsidRPr="00000000">
              <w:rPr>
                <w:rtl w:val="0"/>
              </w:rPr>
            </w:r>
          </w:p>
        </w:tc>
        <w:tc>
          <w:tcPr>
            <w:tcMar>
              <w:top w:w="0.0" w:type="dxa"/>
              <w:bottom w:w="0.0" w:type="dxa"/>
            </w:tcMar>
          </w:tcPr>
          <w:p w:rsidR="00000000" w:rsidDel="00000000" w:rsidP="00000000" w:rsidRDefault="00000000" w:rsidRPr="00000000" w14:paraId="00000013">
            <w:pPr>
              <w:rPr/>
            </w:pPr>
            <w:hyperlink r:id="rId9">
              <w:r w:rsidDel="00000000" w:rsidR="00000000" w:rsidRPr="00000000">
                <w:rPr>
                  <w:rFonts w:ascii="Lato" w:cs="Lato" w:eastAsia="Lato" w:hAnsi="Lato"/>
                  <w:color w:val="0563c1"/>
                  <w:u w:val="single"/>
                  <w:rtl w:val="0"/>
                </w:rPr>
                <w:t xml:space="preserve">Motor Vehicle Laws - License Authorization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4">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5">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6">
            <w:pPr>
              <w:spacing w:after="0" w:lineRule="auto"/>
              <w:rPr/>
            </w:pPr>
            <w:r w:rsidDel="00000000" w:rsidR="00000000" w:rsidRPr="00000000">
              <w:rPr>
                <w:rFonts w:ascii="Lato" w:cs="Lato" w:eastAsia="Lato" w:hAnsi="Lato"/>
                <w:rtl w:val="0"/>
              </w:rPr>
              <w:t xml:space="preserve">281 I.A.C. 43.15</w:t>
            </w:r>
            <w:r w:rsidDel="00000000" w:rsidR="00000000" w:rsidRPr="00000000">
              <w:rPr>
                <w:rtl w:val="0"/>
              </w:rPr>
            </w:r>
          </w:p>
        </w:tc>
        <w:tc>
          <w:tcPr>
            <w:tcMar>
              <w:top w:w="0.0" w:type="dxa"/>
              <w:bottom w:w="0.0" w:type="dxa"/>
            </w:tcMar>
          </w:tcPr>
          <w:p w:rsidR="00000000" w:rsidDel="00000000" w:rsidP="00000000" w:rsidRDefault="00000000" w:rsidRPr="00000000" w14:paraId="00000017">
            <w:pPr>
              <w:rPr/>
            </w:pPr>
            <w:hyperlink r:id="rId10">
              <w:r w:rsidDel="00000000" w:rsidR="00000000" w:rsidRPr="00000000">
                <w:rPr>
                  <w:rFonts w:ascii="Lato" w:cs="Lato" w:eastAsia="Lato" w:hAnsi="Lato"/>
                  <w:color w:val="0563c1"/>
                  <w:u w:val="single"/>
                  <w:rtl w:val="0"/>
                </w:rPr>
                <w:t xml:space="preserve">Transportation - Bus Driver Physical Fitness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w:cs="Lato" w:eastAsia="Lato" w:hAnsi="Lato"/>
                <w:rtl w:val="0"/>
              </w:rPr>
              <w:t xml:space="preserve">281 I.A.C. 43.17</w:t>
            </w:r>
            <w:r w:rsidDel="00000000" w:rsidR="00000000" w:rsidRPr="00000000">
              <w:rPr>
                <w:rtl w:val="0"/>
              </w:rPr>
            </w:r>
          </w:p>
        </w:tc>
        <w:tc>
          <w:tcPr>
            <w:tcMar>
              <w:top w:w="0.0" w:type="dxa"/>
              <w:bottom w:w="0.0" w:type="dxa"/>
            </w:tcMar>
          </w:tcPr>
          <w:p w:rsidR="00000000" w:rsidDel="00000000" w:rsidP="00000000" w:rsidRDefault="00000000" w:rsidRPr="00000000" w14:paraId="00000019">
            <w:pPr>
              <w:rPr/>
            </w:pPr>
            <w:hyperlink r:id="rId11">
              <w:r w:rsidDel="00000000" w:rsidR="00000000" w:rsidRPr="00000000">
                <w:rPr>
                  <w:rFonts w:ascii="Lato" w:cs="Lato" w:eastAsia="Lato" w:hAnsi="Lato"/>
                  <w:color w:val="0563c1"/>
                  <w:u w:val="single"/>
                  <w:rtl w:val="0"/>
                </w:rPr>
                <w:t xml:space="preserve">Transportation - Insulin Dependent Diabetics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A">
            <w:pPr>
              <w:spacing w:after="0" w:lineRule="auto"/>
              <w:rPr/>
            </w:pPr>
            <w:r w:rsidDel="00000000" w:rsidR="00000000" w:rsidRPr="00000000">
              <w:rPr>
                <w:rFonts w:ascii="Lato Black" w:cs="Lato Black" w:eastAsia="Lato Black" w:hAnsi="Lato Black"/>
                <w:b w:val="1"/>
                <w:rtl w:val="0"/>
              </w:rPr>
              <w:t xml:space="preserve">C.F.R. - Code of Federal Regulations</w:t>
            </w:r>
            <w:r w:rsidDel="00000000" w:rsidR="00000000" w:rsidRPr="00000000">
              <w:rPr>
                <w:rtl w:val="0"/>
              </w:rPr>
            </w:r>
          </w:p>
        </w:tc>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C">
            <w:pPr>
              <w:spacing w:after="0" w:lineRule="auto"/>
              <w:rPr/>
            </w:pPr>
            <w:r w:rsidDel="00000000" w:rsidR="00000000" w:rsidRPr="00000000">
              <w:rPr>
                <w:rFonts w:ascii="Lato" w:cs="Lato" w:eastAsia="Lato" w:hAnsi="Lato"/>
                <w:rtl w:val="0"/>
              </w:rPr>
              <w:t xml:space="preserve">29 C.F.R. § 1910.1030</w:t>
            </w:r>
            <w:r w:rsidDel="00000000" w:rsidR="00000000" w:rsidRPr="00000000">
              <w:rPr>
                <w:rtl w:val="0"/>
              </w:rPr>
            </w:r>
          </w:p>
        </w:tc>
        <w:tc>
          <w:tcPr>
            <w:tcMar>
              <w:top w:w="0.0" w:type="dxa"/>
              <w:bottom w:w="0.0" w:type="dxa"/>
            </w:tcMar>
          </w:tcPr>
          <w:p w:rsidR="00000000" w:rsidDel="00000000" w:rsidP="00000000" w:rsidRDefault="00000000" w:rsidRPr="00000000" w14:paraId="0000001D">
            <w:pPr>
              <w:rPr/>
            </w:pPr>
            <w:hyperlink r:id="rId12">
              <w:r w:rsidDel="00000000" w:rsidR="00000000" w:rsidRPr="00000000">
                <w:rPr>
                  <w:rFonts w:ascii="Lato" w:cs="Lato" w:eastAsia="Lato" w:hAnsi="Lato"/>
                  <w:color w:val="0563c1"/>
                  <w:u w:val="single"/>
                  <w:rtl w:val="0"/>
                </w:rPr>
                <w:t xml:space="preserve">Labor - Bloodborne Pathogens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w:cs="Lato" w:eastAsia="Lato" w:hAnsi="Lato"/>
                <w:rtl w:val="0"/>
              </w:rPr>
              <w:t xml:space="preserve">49 C.F.R. 391</w:t>
            </w:r>
            <w:r w:rsidDel="00000000" w:rsidR="00000000" w:rsidRPr="00000000">
              <w:rPr>
                <w:rtl w:val="0"/>
              </w:rPr>
            </w:r>
          </w:p>
        </w:tc>
        <w:tc>
          <w:tcPr>
            <w:tcMar>
              <w:top w:w="0.0" w:type="dxa"/>
              <w:bottom w:w="0.0" w:type="dxa"/>
            </w:tcMar>
          </w:tcPr>
          <w:p w:rsidR="00000000" w:rsidDel="00000000" w:rsidP="00000000" w:rsidRDefault="00000000" w:rsidRPr="00000000" w14:paraId="0000001F">
            <w:pPr>
              <w:rPr/>
            </w:pPr>
            <w:hyperlink r:id="rId13">
              <w:r w:rsidDel="00000000" w:rsidR="00000000" w:rsidRPr="00000000">
                <w:rPr>
                  <w:rFonts w:ascii="Lato" w:cs="Lato" w:eastAsia="Lato" w:hAnsi="Lato"/>
                  <w:color w:val="0563c1"/>
                  <w:u w:val="single"/>
                  <w:rtl w:val="0"/>
                </w:rPr>
                <w:t xml:space="preserve">Transportation - Driver Qualifications</w:t>
              </w:r>
            </w:hyperlink>
            <w:r w:rsidDel="00000000" w:rsidR="00000000" w:rsidRPr="00000000">
              <w:rPr>
                <w:rtl w:val="0"/>
              </w:rPr>
            </w:r>
          </w:p>
        </w:tc>
      </w:tr>
    </w:tbl>
    <w:p w:rsidR="00000000" w:rsidDel="00000000" w:rsidP="00000000" w:rsidRDefault="00000000" w:rsidRPr="00000000" w14:paraId="00000020">
      <w:pPr>
        <w:shd w:fill="f9f9f9" w:val="clear"/>
        <w:spacing w:line="480" w:lineRule="auto"/>
        <w:rPr>
          <w:rFonts w:ascii="Lato Black" w:cs="Lato Black" w:eastAsia="Lato Black" w:hAnsi="Lato Black"/>
          <w:b w:val="1"/>
        </w:rPr>
      </w:pPr>
      <w:r w:rsidDel="00000000" w:rsidR="00000000" w:rsidRPr="00000000">
        <w:rPr>
          <w:rFonts w:ascii="Lato Black" w:cs="Lato Black" w:eastAsia="Lato Black" w:hAnsi="Lato Black"/>
          <w:b w:val="1"/>
          <w:rtl w:val="0"/>
        </w:rPr>
        <w:t xml:space="preserve">Cross References</w:t>
      </w:r>
    </w:p>
    <w:tbl>
      <w:tblPr>
        <w:tblStyle w:val="Table4"/>
        <w:tblW w:w="9993.0" w:type="dxa"/>
        <w:jc w:val="left"/>
        <w:tblInd w:w="10.0" w:type="dxa"/>
        <w:tblLayout w:type="fixed"/>
        <w:tblLook w:val="04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Black" w:cs="Lato Black" w:eastAsia="Lato Black" w:hAnsi="Lato Black"/>
                <w:b w:val="1"/>
                <w:rtl w:val="0"/>
              </w:rPr>
              <w:t xml:space="preserve">Code</w:t>
            </w:r>
            <w:r w:rsidDel="00000000" w:rsidR="00000000" w:rsidRPr="00000000">
              <w:rPr>
                <w:rtl w:val="0"/>
              </w:rPr>
            </w:r>
          </w:p>
        </w:tc>
        <w:tc>
          <w:tcPr>
            <w:tcMar>
              <w:top w:w="0.0" w:type="dxa"/>
              <w:bottom w:w="0.0" w:type="dxa"/>
            </w:tcMar>
          </w:tcPr>
          <w:p w:rsidR="00000000" w:rsidDel="00000000" w:rsidP="00000000" w:rsidRDefault="00000000" w:rsidRPr="00000000" w14:paraId="00000022">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3">
            <w:pPr>
              <w:spacing w:after="0" w:lineRule="auto"/>
              <w:rPr/>
            </w:pPr>
            <w:r w:rsidDel="00000000" w:rsidR="00000000" w:rsidRPr="00000000">
              <w:rPr>
                <w:rFonts w:ascii="Lato" w:cs="Lato" w:eastAsia="Lato" w:hAnsi="Lato"/>
                <w:rtl w:val="0"/>
              </w:rPr>
              <w:t xml:space="preserve">403.03</w:t>
            </w:r>
            <w:r w:rsidDel="00000000" w:rsidR="00000000" w:rsidRPr="00000000">
              <w:rPr>
                <w:rtl w:val="0"/>
              </w:rPr>
            </w:r>
          </w:p>
        </w:tc>
        <w:tc>
          <w:tcPr>
            <w:tcMar>
              <w:top w:w="0.0" w:type="dxa"/>
              <w:bottom w:w="0.0" w:type="dxa"/>
            </w:tcMar>
          </w:tcPr>
          <w:p w:rsidR="00000000" w:rsidDel="00000000" w:rsidP="00000000" w:rsidRDefault="00000000" w:rsidRPr="00000000" w14:paraId="00000024">
            <w:pPr>
              <w:rPr/>
            </w:pPr>
            <w:hyperlink r:id="rId14">
              <w:r w:rsidDel="00000000" w:rsidR="00000000" w:rsidRPr="00000000">
                <w:rPr>
                  <w:rFonts w:ascii="Lato" w:cs="Lato" w:eastAsia="Lato" w:hAnsi="Lato"/>
                  <w:color w:val="0563c1"/>
                  <w:u w:val="single"/>
                  <w:rtl w:val="0"/>
                </w:rPr>
                <w:t xml:space="preserve">Communicable Diseases - Employees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5">
            <w:pPr>
              <w:spacing w:after="0" w:lineRule="auto"/>
              <w:rPr/>
            </w:pPr>
            <w:r w:rsidDel="00000000" w:rsidR="00000000" w:rsidRPr="00000000">
              <w:rPr>
                <w:rFonts w:ascii="Lato" w:cs="Lato" w:eastAsia="Lato" w:hAnsi="Lato"/>
                <w:rtl w:val="0"/>
              </w:rPr>
              <w:t xml:space="preserve">403.03-R(1)</w:t>
            </w:r>
            <w:r w:rsidDel="00000000" w:rsidR="00000000" w:rsidRPr="00000000">
              <w:rPr>
                <w:rtl w:val="0"/>
              </w:rPr>
            </w:r>
          </w:p>
        </w:tc>
        <w:tc>
          <w:tcPr>
            <w:tcMar>
              <w:top w:w="0.0" w:type="dxa"/>
              <w:bottom w:w="0.0" w:type="dxa"/>
            </w:tcMar>
          </w:tcPr>
          <w:p w:rsidR="00000000" w:rsidDel="00000000" w:rsidP="00000000" w:rsidRDefault="00000000" w:rsidRPr="00000000" w14:paraId="00000026">
            <w:pPr>
              <w:rPr/>
            </w:pPr>
            <w:hyperlink r:id="rId15">
              <w:r w:rsidDel="00000000" w:rsidR="00000000" w:rsidRPr="00000000">
                <w:rPr>
                  <w:rFonts w:ascii="Lato" w:cs="Lato" w:eastAsia="Lato" w:hAnsi="Lato"/>
                  <w:color w:val="0563c1"/>
                  <w:u w:val="single"/>
                  <w:rtl w:val="0"/>
                </w:rPr>
                <w:t xml:space="preserve">Communicable Diseases - Employees - Regulation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7">
            <w:pPr>
              <w:spacing w:after="0" w:lineRule="auto"/>
              <w:rPr/>
            </w:pPr>
            <w:r w:rsidDel="00000000" w:rsidR="00000000" w:rsidRPr="00000000">
              <w:rPr>
                <w:rFonts w:ascii="Lato" w:cs="Lato" w:eastAsia="Lato" w:hAnsi="Lato"/>
                <w:rtl w:val="0"/>
              </w:rPr>
              <w:t xml:space="preserve">403.03-E(1)</w:t>
            </w:r>
            <w:r w:rsidDel="00000000" w:rsidR="00000000" w:rsidRPr="00000000">
              <w:rPr>
                <w:rtl w:val="0"/>
              </w:rPr>
            </w:r>
          </w:p>
        </w:tc>
        <w:tc>
          <w:tcPr>
            <w:tcMar>
              <w:top w:w="0.0" w:type="dxa"/>
              <w:bottom w:w="0.0" w:type="dxa"/>
            </w:tcMar>
          </w:tcPr>
          <w:p w:rsidR="00000000" w:rsidDel="00000000" w:rsidP="00000000" w:rsidRDefault="00000000" w:rsidRPr="00000000" w14:paraId="00000028">
            <w:pPr>
              <w:rPr/>
            </w:pPr>
            <w:hyperlink r:id="rId16">
              <w:r w:rsidDel="00000000" w:rsidR="00000000" w:rsidRPr="00000000">
                <w:rPr>
                  <w:rFonts w:ascii="Lato" w:cs="Lato" w:eastAsia="Lato" w:hAnsi="Lato"/>
                  <w:color w:val="0563c1"/>
                  <w:u w:val="single"/>
                  <w:rtl w:val="0"/>
                </w:rPr>
                <w:t xml:space="preserve">Communicable Diseases - Employees - Hepatitis B Vaccine Information and Record</w:t>
              </w:r>
            </w:hyperlink>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Pr>
      <w:i w:val="1"/>
      <w:iCs w:val="1"/>
    </w:rPr>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egis.iowa.gov/docs/iac/rule/281.43.17.pdf" TargetMode="External"/><Relationship Id="rId10" Type="http://schemas.openxmlformats.org/officeDocument/2006/relationships/hyperlink" Target="https://www.legis.iowa.gov/docs/iac/rule/281.43.15.pdf" TargetMode="External"/><Relationship Id="rId13" Type="http://schemas.openxmlformats.org/officeDocument/2006/relationships/hyperlink" Target="https://www.ecfr.gov/current/title-49/subtitle-B/chapter-III/subchapter-B/part-391" TargetMode="External"/><Relationship Id="rId12" Type="http://schemas.openxmlformats.org/officeDocument/2006/relationships/hyperlink" Target="https://www.ecfr.gov/current/title-29/subtitle-B/chapter-XVII/part-1910/subpart-Z/section-1910.103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egis.iowa.gov/docs/code/321.376.pdf" TargetMode="External"/><Relationship Id="rId15" Type="http://schemas.openxmlformats.org/officeDocument/2006/relationships/hyperlink" Target="https://simbli.eboardsolutions.com/Policy/ViewPolicy.aspx?S=36031104&amp;revid=NoplusUuplusjJlIrvwe3k7G6HZQ==" TargetMode="External"/><Relationship Id="rId14" Type="http://schemas.openxmlformats.org/officeDocument/2006/relationships/hyperlink" Target="https://simbli.eboardsolutions.com/Policy/ViewPolicy.aspx?S=36031104&amp;revid=jLHxcRV1YMvpcXp64HKKBQ==" TargetMode="External"/><Relationship Id="rId16" Type="http://schemas.openxmlformats.org/officeDocument/2006/relationships/hyperlink" Target="https://simbli.eboardsolutions.com/Policy/ViewPolicy.aspx?S=36031104&amp;revid=tjYDorHUEyBtfrRfeGgWU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0.pdf" TargetMode="External"/><Relationship Id="rId8" Type="http://schemas.openxmlformats.org/officeDocument/2006/relationships/hyperlink" Target="https://www.legis.iowa.gov/docs/code/279.8.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IFV0WwEZm41+KO8wFjSaGIKFQ==">CgMxLjAyCGguZ2pkZ3hzOAByITE2cmEzRGhDTmFVTzZHUC00VkhmTkdXeXBhQkV3dlJ6bw==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2023-12-13T17:22:00Z</dcterms:created>
  <dc:creator>Linda Heisdorffer</dc:creator>
</cp:coreProperties>
</file>